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THEL-CD-T200902 Sept Ram Power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Sept Ram Spot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2220"/>
        <w:gridCol w:w="4725"/>
        <w:tblGridChange w:id="0">
          <w:tblGrid>
            <w:gridCol w:w="4320"/>
            <w:gridCol w:w="2220"/>
            <w:gridCol w:w="472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vertAlign w:val="baseline"/>
                <w:rtl w:val="0"/>
              </w:rPr>
              <w:t xml:space="preserve">Chrysler Logo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(Chrysler, Dodge, Jeep, Ram Logos)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6"/>
                <w:szCs w:val="36"/>
              </w:rPr>
              <w:drawing>
                <wp:inline distB="114300" distT="114300" distL="114300" distR="114300">
                  <wp:extent cx="2609850" cy="5334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2020 Ram 1500 Big Horn Quad Cab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$179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/mo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Or Choose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0%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APR For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72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Months</w:t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Lease for 42 months, 10,000 miles per year for qualified lessees with approved credit. $3,172 due at signing, taxes extra. Limited to availability in stock. Must qualify for Chrysler Employee Pricing and  all available incentives and rebates. 0% APR for 72 months equals $13.89 per $1,000 finananced, regardless of down payment. For well qualified buyers with approved credit through Chrysler Capital. Cannot be combined with some other offers and incentives.  Not all buyers will qualify.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 See Thelen Chrysler for details. Ends September 30, 2020.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Chrysler Logo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(Chrysler, Dodge, Jeep, Ram Logos)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2020 Ram Power Days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2020 Ram 1500 Big Horn Crew Cab</w:t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left"/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Thinking about a new Truck? Then Think Thelen Chrysler Dodge Jeep Ram in Bay City!</w:t>
            </w:r>
          </w:p>
          <w:p w:rsidR="00000000" w:rsidDel="00000000" w:rsidP="00000000" w:rsidRDefault="00000000" w:rsidRPr="00000000" w14:paraId="00000045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need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a new truck. And Thelen Chrysler is here to help!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We’ll find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or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customize a new Ram Truck with the options you need, plus a low payment!</w:t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And during Ram Power days, lease a new Ram 1500 Big Horn from just $179 a month!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 Or choose 0% APR for 72 Months!</w:t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So Think Thelen Chrysler Dodge Jeep Ram - Euclid avenue, Bay City!  </w:t>
            </w:r>
          </w:p>
          <w:p w:rsidR="00000000" w:rsidDel="00000000" w:rsidP="00000000" w:rsidRDefault="00000000" w:rsidRPr="00000000" w14:paraId="0000004D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Helping you find the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right truc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k... because it’s the right thing to do!</w:t>
            </w:r>
          </w:p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Arial" w:cs="Arial" w:eastAsia="Arial" w:hAnsi="Arial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